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R4-2213696</w:t>
      </w:r>
      <w:bookmarkStart w:id="7" w:name="_GoBack"/>
      <w:bookmarkEnd w:id="7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12.5.3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SAN RF requirements for IoT over NTN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RAN#95e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RP-221556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NB-IoT/eMTC core &amp; performance requirements for NTN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was approved as one of Rel-18 RAN4 package. In this contribution, we want to share some initial views on SAN RF requirement for IoT over NTN.</w:t>
      </w:r>
    </w:p>
    <w:p>
      <w:pPr>
        <w:numPr>
          <w:ilvl w:val="0"/>
          <w:numId w:val="2"/>
        </w:numPr>
        <w:spacing w:before="120"/>
      </w:pPr>
      <w:r>
        <w:t>Specification of RF requirements for Satellite Access Node (SAN) and UE including the following [RAN4]:</w:t>
      </w:r>
    </w:p>
    <w:p>
      <w:pPr>
        <w:pStyle w:val="33"/>
        <w:numPr>
          <w:ilvl w:val="0"/>
          <w:numId w:val="3"/>
        </w:numPr>
        <w:spacing w:before="120"/>
        <w:rPr>
          <w:rFonts w:ascii="Times New Roman" w:hAnsi="Times New Roman"/>
          <w:color w:val="000000"/>
          <w:sz w:val="20"/>
          <w:lang w:eastAsia="ja-JP"/>
        </w:rPr>
      </w:pPr>
      <w:r>
        <w:rPr>
          <w:rFonts w:ascii="Times New Roman" w:hAnsi="Times New Roman"/>
          <w:color w:val="000000"/>
          <w:sz w:val="20"/>
          <w:lang w:eastAsia="ja-JP"/>
        </w:rPr>
        <w:t xml:space="preserve">Specification of a 200 kHz channel raster in bands where this is feasible. </w:t>
      </w:r>
    </w:p>
    <w:p>
      <w:pPr>
        <w:pStyle w:val="33"/>
        <w:numPr>
          <w:ilvl w:val="0"/>
          <w:numId w:val="3"/>
        </w:numPr>
        <w:snapToGrid w:val="0"/>
        <w:spacing w:before="120"/>
        <w:ind w:left="714" w:hanging="357"/>
        <w:rPr>
          <w:rFonts w:ascii="Times New Roman" w:hAnsi="Times New Roman"/>
          <w:color w:val="000000"/>
          <w:sz w:val="20"/>
          <w:lang w:eastAsia="ja-JP"/>
        </w:rPr>
      </w:pPr>
      <w:r>
        <w:rPr>
          <w:rFonts w:ascii="Times New Roman" w:hAnsi="Times New Roman"/>
          <w:color w:val="000000"/>
          <w:sz w:val="2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>
      <w:pPr>
        <w:pStyle w:val="33"/>
        <w:numPr>
          <w:ilvl w:val="0"/>
          <w:numId w:val="3"/>
        </w:numPr>
        <w:spacing w:before="120"/>
        <w:ind w:left="714" w:hanging="357"/>
        <w:rPr>
          <w:rFonts w:ascii="Times New Roman" w:hAnsi="Times New Roman"/>
          <w:sz w:val="20"/>
          <w:szCs w:val="20"/>
          <w:lang w:val="en-US" w:eastAsia="en-US"/>
        </w:rPr>
      </w:pPr>
      <w:r>
        <w:rPr>
          <w:rFonts w:ascii="Times New Roman" w:hAnsi="Times New Roman"/>
          <w:sz w:val="20"/>
          <w:szCs w:val="20"/>
          <w:lang w:val="en-US" w:eastAsia="en-US"/>
        </w:rPr>
        <w:t>Verification of co-existence of IoT NTN with TN, re-using or extrapolating from existing coexistence results (from NR NTN or other) where appropriate, and considering additional simulations as necessary.</w:t>
      </w:r>
    </w:p>
    <w:p>
      <w:pPr>
        <w:pStyle w:val="33"/>
        <w:numPr>
          <w:ilvl w:val="0"/>
          <w:numId w:val="3"/>
        </w:numPr>
        <w:spacing w:before="1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Leveraging the studies and requirements (where applicable) of NTN NR bands n256 and n255 (and any relevant E-UTRA bands), specify the following new FDD frequency bands for NB-IoT/eMTC NTN operation:</w:t>
      </w:r>
    </w:p>
    <w:p>
      <w:pPr>
        <w:pStyle w:val="33"/>
        <w:numPr>
          <w:ilvl w:val="1"/>
          <w:numId w:val="3"/>
        </w:num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S-band (</w:t>
      </w:r>
      <w:r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>
      <w:pPr>
        <w:pStyle w:val="33"/>
        <w:numPr>
          <w:ilvl w:val="1"/>
          <w:numId w:val="3"/>
        </w:num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 w:eastAsia="en-US"/>
        </w:rPr>
        <w:t>L band (</w:t>
      </w:r>
      <w:r>
        <w:rPr>
          <w:rFonts w:ascii="Times New Roman" w:hAnsi="Times New Roman"/>
          <w:sz w:val="20"/>
        </w:rPr>
        <w:t>1626.5 MHz – 1660</w:t>
      </w:r>
      <w:r>
        <w:rPr>
          <w:rFonts w:ascii="Times New Roman" w:hAnsi="Times New Roman"/>
          <w:sz w:val="20"/>
          <w:lang w:val="en-US"/>
        </w:rPr>
        <w:t>.</w:t>
      </w:r>
      <w:r>
        <w:rPr>
          <w:rFonts w:ascii="Times New Roman" w:hAnsi="Times New Roman"/>
          <w:sz w:val="20"/>
        </w:rPr>
        <w:t>5 MHz in UL, and 1525 MHz – 1559 MHz in DL)</w:t>
      </w:r>
    </w:p>
    <w:p>
      <w:pPr>
        <w:pStyle w:val="54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1" w:name="OLE_LINK13"/>
      <w:bookmarkStart w:id="2" w:name="OLE_LINK10"/>
      <w:bookmarkStart w:id="3" w:name="OLE_LINK20"/>
      <w:bookmarkStart w:id="4" w:name="OLE_LINK14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 SAN type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 w:eastAsia="宋体" w:asciiTheme="minorHAnsi" w:hAnsiTheme="minorHAnsi" w:cstheme="minorHAnsi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As indicated the objective</w:t>
      </w:r>
      <w:r>
        <w:rPr>
          <w:rFonts w:hint="eastAsia" w:cs="Times New Roman"/>
          <w:sz w:val="22"/>
          <w:szCs w:val="22"/>
          <w:lang w:val="en-US" w:eastAsia="zh-CN"/>
        </w:rPr>
        <w:t xml:space="preserve"> [1]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, </w:t>
      </w:r>
      <w:r>
        <w:rPr>
          <w:rFonts w:hint="eastAsia" w:cs="Times New Roman"/>
          <w:sz w:val="22"/>
          <w:szCs w:val="22"/>
          <w:lang w:val="en-US" w:eastAsia="zh-CN"/>
        </w:rPr>
        <w:t>it</w:t>
      </w:r>
      <w:r>
        <w:rPr>
          <w:rFonts w:hint="default" w:cs="Times New Roman"/>
          <w:sz w:val="22"/>
          <w:szCs w:val="22"/>
          <w:lang w:val="en-US" w:eastAsia="zh-CN"/>
        </w:rPr>
        <w:t>’</w:t>
      </w:r>
      <w:r>
        <w:rPr>
          <w:rFonts w:hint="eastAsia" w:cs="Times New Roman"/>
          <w:sz w:val="22"/>
          <w:szCs w:val="22"/>
          <w:lang w:val="en-US" w:eastAsia="zh-CN"/>
        </w:rPr>
        <w:t xml:space="preserve">s agreed to leverage the studies and requirements </w:t>
      </w:r>
      <w:r>
        <w:rPr>
          <w:rFonts w:ascii="Times New Roman" w:hAnsi="Times New Roman"/>
          <w:sz w:val="20"/>
        </w:rPr>
        <w:t>(where applicable) of NTN NR bands n256 and n255 (and any relevant E-UTRA bands)</w:t>
      </w:r>
      <w:r>
        <w:rPr>
          <w:rFonts w:hint="eastAsia"/>
          <w:sz w:val="20"/>
          <w:lang w:val="en-US" w:eastAsia="zh-CN"/>
        </w:rPr>
        <w:t>. For Rel-17 SAN types for NR over NTN, there are two SAN types defined, namely SAN type 1-H and SAN type 1-O. For IoT over NTN in Rel-18, we propose to define the same SAN types unless there is any specific reasons to preclude these types.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1</w:t>
      </w:r>
      <w:r>
        <w:rPr>
          <w:rFonts w:hint="eastAsia" w:cs="Times New Roman"/>
          <w:sz w:val="22"/>
          <w:szCs w:val="22"/>
          <w:lang w:val="en-US" w:eastAsia="zh-CN"/>
        </w:rPr>
        <w:t>: to define SAN type 1-H and type 1-O for IoT over NTN;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2.2. eMTC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1, we share some initial views on the SAN RF requirements for SAN supporting eMTC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1. summary of the proposals for SAN RF requirement for eMTC over NTN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6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Tx requirements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Applicability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bookmarkStart w:id="5" w:name="_Toc24574"/>
            <w:r>
              <w:rPr>
                <w:rFonts w:hint="eastAsia"/>
                <w:vertAlign w:val="baseline"/>
                <w:lang w:val="en-US" w:eastAsia="zh-CN"/>
              </w:rPr>
              <w:t>Satellite Access Node output power</w:t>
            </w:r>
            <w:bookmarkEnd w:id="5"/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bookmarkStart w:id="6" w:name="_Toc22538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Output power dynamics</w:t>
            </w:r>
            <w:bookmarkEnd w:id="6"/>
          </w:p>
        </w:tc>
        <w:tc>
          <w:tcPr>
            <w:tcW w:w="6194" w:type="dxa"/>
            <w:vAlign w:val="top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 power control dynamic range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of TS36.104 with modulation order up to 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Total power dynamic range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Total power dynamic range of TS 36.104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This is not applicable for FDD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Transmitted signal quality</w:t>
            </w:r>
          </w:p>
        </w:tc>
        <w:tc>
          <w:tcPr>
            <w:tcW w:w="6194" w:type="dxa"/>
          </w:tcPr>
          <w:p>
            <w:pPr>
              <w:pStyle w:val="40"/>
              <w:tabs>
                <w:tab w:val="left" w:pos="2474"/>
              </w:tabs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Frequency error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Modulation quality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 with 64QAM as optional feature.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Time alignment error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This is not applicable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Unwanted emissions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Occupied bandwidth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requirement for NR over NTN IN TS38.108 which is following </w:t>
            </w:r>
            <w:r>
              <w:rPr>
                <w:rFonts w:cs="v4.2.0"/>
              </w:rPr>
              <w:t>ITU-R Recommendation SM.328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Adjacent Channel Leakage Power Ratio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 38.108.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Operating band unwanted emissions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 38.108.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to f</w:t>
            </w:r>
            <w:r>
              <w:rPr>
                <w:rFonts w:hint="eastAsia"/>
              </w:rPr>
              <w:t xml:space="preserve">ollow Annex 5 of ITU recommendation SM.1541-6 </w:t>
            </w:r>
            <w:r>
              <w:t xml:space="preserve">to </w:t>
            </w:r>
            <w:r>
              <w:rPr>
                <w:rFonts w:hint="eastAsia"/>
              </w:rPr>
              <w:t xml:space="preserve">define </w:t>
            </w:r>
            <w:r>
              <w:t xml:space="preserve">SAN </w:t>
            </w:r>
            <w:r>
              <w:rPr>
                <w:rFonts w:hint="eastAsia"/>
              </w:rPr>
              <w:t xml:space="preserve">OBUE </w:t>
            </w:r>
            <w:r>
              <w:t>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Transmitter spurious emissions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 follow ITU-R recommendation SM.329-12 (Unwanted emissions in the spurious domain), with the measurement bandwidth of 4 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Transmitter intermodulation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applicable similar as NR over NTN in TS 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Rx requirement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Reference sensitivity level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 xml:space="preserve">Alt 1: </w:t>
            </w:r>
            <w:r>
              <w:rPr>
                <w:rFonts w:hint="eastAsia"/>
                <w:b w:val="0"/>
                <w:bCs w:val="0"/>
                <w:highlight w:val="none"/>
                <w:vertAlign w:val="baseline"/>
                <w:lang w:val="en-US" w:eastAsia="zh-CN"/>
              </w:rPr>
              <w:t>(more preferred since on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ly Cat M1 is supported in Rel-17/18 eMTC over NTN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 xml:space="preserve"> 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 A1-1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1.4MHz LTE BW for all carriers since only Cat M1 is supported in Rel-17/18 eMTC over NTN; 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Ruse the implementation margin as 2dB;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 xml:space="preserve">Alt 2: </w:t>
            </w:r>
            <w:r>
              <w:rPr>
                <w:rFonts w:hint="eastAsia"/>
                <w:b w:val="0"/>
                <w:bCs w:val="0"/>
                <w:highlight w:val="none"/>
                <w:vertAlign w:val="baseline"/>
                <w:lang w:val="en-US" w:eastAsia="zh-CN"/>
              </w:rPr>
              <w:t>(less spec impacts compared with Alt1, however less preferred since only Cat M1 is supported for eMTC over NTN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same FRC A1-1 for 1.4MHz, FRC A1-2 for 3MHz and and FRC A1-3 for 5MHz, 10MHz, 15MHz and 20MHz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Ruse the implementation margin as 2dB;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Dynamic range 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GEO,  to follow the same agreement without requirement defined.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LEO,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Alt 1: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(more preferred since on</w:t>
            </w:r>
            <w:r>
              <w:rPr>
                <w:rFonts w:hint="eastAsia"/>
                <w:vertAlign w:val="baseline"/>
                <w:lang w:val="en-US" w:eastAsia="zh-CN"/>
              </w:rPr>
              <w:t>ly Cat M1 is supported in Rel-17/18 eMTC over NTN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</w:rPr>
              <w:t>FRC A</w:t>
            </w:r>
            <w:r>
              <w:rPr>
                <w:rFonts w:hint="eastAsia" w:eastAsia="宋体" w:cs="Arial"/>
                <w:lang w:val="en-US" w:eastAsia="zh-CN"/>
              </w:rPr>
              <w:t>2</w:t>
            </w:r>
            <w:r>
              <w:rPr>
                <w:rFonts w:cs="Arial"/>
              </w:rPr>
              <w:t>-1</w:t>
            </w:r>
            <w:r>
              <w:rPr>
                <w:rFonts w:hint="eastAsia" w:eastAsia="宋体" w:cs="Arial"/>
                <w:lang w:val="en-US" w:eastAsia="zh-CN"/>
              </w:rPr>
              <w:t xml:space="preserve"> f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or 1.4MHz LTE BW for all carriers since only Cat M1 is supported in Rel-17/18 eMTC over NTN; 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IoT 15dB for NR over NTN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Ruse the implementation margin as 2.5dB;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Alt 2: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(less spec impacts compared with Alt1, however less preferred since only Cat M1 is supported for eMTC over NTN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FRC A2-1 for 1.4MHz, FRC A2-2 for 3MHz and and FRC A2-3 for 5MHz, 10MHz, 15MHz and 20MHz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IoT 15dB for NR over NTN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Ruse the implementation margin as 2.5dB;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reuse 38dBc for both GEO and LEO.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wanted signal power level P</w:t>
            </w:r>
            <w:r>
              <w:rPr>
                <w:rFonts w:hint="eastAsia"/>
                <w:vertAlign w:val="subscript"/>
                <w:lang w:val="en-US" w:eastAsia="zh-CN"/>
              </w:rPr>
              <w:t>REFSENS</w:t>
            </w:r>
            <w:r>
              <w:rPr>
                <w:rFonts w:hint="eastAsia"/>
                <w:vertAlign w:val="baseline"/>
                <w:lang w:val="en-US" w:eastAsia="zh-CN"/>
              </w:rPr>
              <w:t>+6dB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FRC for wanted signal should follow the agreement of Reference sensitivity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In-band blocking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requirement defined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 of band blocking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reuse OOBB power level as -44dBm for both GEO and LEO.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Note: the worst coexistence case </w:t>
            </w:r>
            <w:r>
              <w:t>(i.e. SpaceOps TC station at satellite Nadir)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>is applicable for both NR over NTN and IoT over NTN.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wanted signal power level P</w:t>
            </w:r>
            <w:r>
              <w:rPr>
                <w:rFonts w:hint="eastAsia"/>
                <w:vertAlign w:val="subscript"/>
                <w:lang w:val="en-US" w:eastAsia="zh-CN"/>
              </w:rPr>
              <w:t>REFSENS</w:t>
            </w:r>
            <w:r>
              <w:rPr>
                <w:rFonts w:hint="eastAsia"/>
                <w:vertAlign w:val="baseline"/>
                <w:lang w:val="en-US" w:eastAsia="zh-CN"/>
              </w:rPr>
              <w:t>+6dB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 for wanted signal should follow the agreement of Reference sensitivity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Receiver spurious emission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reuse the requirements for NR over NTN in TS38.108 and follow the updates of TS 38.108 if necessary since this is under the discussion.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Receiver intermodulation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requirement defined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In-channel selectivity</w:t>
            </w:r>
          </w:p>
        </w:tc>
        <w:tc>
          <w:tcPr>
            <w:tcW w:w="6194" w:type="dxa"/>
          </w:tcPr>
          <w:p>
            <w:pPr>
              <w:rPr>
                <w:rFonts w:hint="eastAsia" w:ascii="Times New Roman" w:hAnsi="Times New Roman" w:eastAsia="Times New Roman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For GEO and LEO, to reuse ICS level as 12 dB for GEO, 24dB for LEO used for NR over NTN in Rel-17.</w:t>
            </w:r>
          </w:p>
          <w:p>
            <w:pP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Times New Roman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 xml:space="preserve">For FRCs for eMTC over NTN, 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Alt 1: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(more preferred since on</w:t>
            </w:r>
            <w:r>
              <w:rPr>
                <w:rFonts w:hint="eastAsia"/>
                <w:vertAlign w:val="baseline"/>
                <w:lang w:val="en-US" w:eastAsia="zh-CN"/>
              </w:rPr>
              <w:t>ly Cat M1 is supported in Rel-17/18 eMTC over NTN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</w:rPr>
              <w:t>FRC A</w:t>
            </w:r>
            <w:r>
              <w:rPr>
                <w:rFonts w:hint="eastAsia" w:eastAsia="宋体" w:cs="Arial"/>
                <w:lang w:val="en-US" w:eastAsia="zh-CN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hint="eastAsia" w:eastAsia="宋体" w:cs="Arial"/>
                <w:lang w:val="en-US" w:eastAsia="zh-CN"/>
              </w:rPr>
              <w:t>4 f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or 1.4MHz LTE BW for all carriers since only Cat M1 is supported in Rel-17/18 eMTC over NTN; 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implementation margin as 2dB;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Alt 2: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(less spec impacts compared with Alt1, however less preferred since only Cat M1 is supported for eMTC over NTN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)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FRC A1-4 for 1.4MHz, FRC A1-5 for 3MHz, FRC A1-2 for 5MHz and FRC A1-3 for 10MHz, 15MHz and 20MHz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szCs w:val="24"/>
                <w:highlight w:val="yellow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</w:tc>
      </w:tr>
    </w:tbl>
    <w:p>
      <w:pPr>
        <w:pStyle w:val="40"/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2.3. NB-IoT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2, we share some initial views on the SAN RF requirements for SAN supporting NB-IoT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Table 2. summary of the proposals for SAN RF requirement for NB-IoT over NTN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6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Tx requirements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Applicability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Satellite Access Node output power 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194" w:type="dxa"/>
            <w:vAlign w:val="top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 power control dynamic range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applicable, there is not requirement defined in TN BS.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Total power dynamic range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applicable, there is not requirement defined in TN BS.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This is not applicable for FDD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Transmitted signal quality</w:t>
            </w:r>
          </w:p>
        </w:tc>
        <w:tc>
          <w:tcPr>
            <w:tcW w:w="6194" w:type="dxa"/>
          </w:tcPr>
          <w:p>
            <w:pPr>
              <w:pStyle w:val="40"/>
              <w:tabs>
                <w:tab w:val="left" w:pos="2474"/>
              </w:tabs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Frequency error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Modulation quality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NB-IoT defined in TS6.104 in principle and further discuss the 16QAM supported in Rel-17 should be also supported for NB-IoT over NTN.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Time alignment error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This is not applicable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Unwanted emissions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Occupied bandwidth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requirement for NR over NTN IN TS38.108 which is following </w:t>
            </w:r>
            <w:r>
              <w:rPr>
                <w:rFonts w:cs="v4.2.0"/>
              </w:rPr>
              <w:t>ITU-R Recommendation SM.328</w:t>
            </w:r>
            <w:r>
              <w:rPr>
                <w:rFonts w:hint="eastAsia" w:eastAsia="宋体" w:cs="v4.2.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Adjacent Channel Leakage Power Ratio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Operating band unwanted emissions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f</w:t>
            </w:r>
            <w:r>
              <w:rPr>
                <w:rFonts w:hint="eastAsia"/>
              </w:rPr>
              <w:t xml:space="preserve">ollow Annex 5 of ITU recommendation SM.1541-6 </w:t>
            </w:r>
            <w:r>
              <w:t xml:space="preserve">to </w:t>
            </w:r>
            <w:r>
              <w:rPr>
                <w:rFonts w:hint="eastAsia"/>
              </w:rPr>
              <w:t xml:space="preserve">define </w:t>
            </w:r>
            <w:r>
              <w:t xml:space="preserve">SAN </w:t>
            </w:r>
            <w:r>
              <w:rPr>
                <w:rFonts w:hint="eastAsia"/>
              </w:rPr>
              <w:t xml:space="preserve">OBUE </w:t>
            </w:r>
            <w:r>
              <w:t>requirements</w:t>
            </w:r>
            <w:r>
              <w:rPr>
                <w:rFonts w:hint="eastAsia" w:eastAsia="宋体"/>
                <w:lang w:val="en-US" w:eastAsia="zh-CN"/>
              </w:rPr>
              <w:t xml:space="preserve"> and there might be some further adjustment based on the ACLR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Transmitter spurious emissions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same requirement for NR over NTN in TS38.108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 follow ITU-R recommendation SM.329-12 (Unwanted emissions in the spurious domain), with the measurement bandwidth of 4 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Transmitter intermodulation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applicable similar as NR over NTN in TS 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Rx requirement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Reference sensitivity level</w:t>
            </w:r>
          </w:p>
        </w:tc>
        <w:tc>
          <w:tcPr>
            <w:tcW w:w="6194" w:type="dxa"/>
          </w:tcPr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lang w:eastAsia="ja-JP"/>
              </w:rPr>
              <w:t>FRC A14-1</w:t>
            </w:r>
            <w:r>
              <w:rPr>
                <w:rFonts w:hint="eastAsia" w:eastAsia="宋体" w:cs="Arial"/>
                <w:lang w:val="en-US" w:eastAsia="zh-CN"/>
              </w:rPr>
              <w:t xml:space="preserve"> for 15kHz and </w:t>
            </w:r>
            <w:r>
              <w:rPr>
                <w:rFonts w:cs="Arial"/>
                <w:lang w:eastAsia="ja-JP"/>
              </w:rPr>
              <w:t>FRC A14-2</w:t>
            </w:r>
            <w:r>
              <w:rPr>
                <w:rFonts w:hint="eastAsia" w:eastAsia="宋体" w:cs="Arial"/>
                <w:lang w:val="en-US" w:eastAsia="zh-CN"/>
              </w:rPr>
              <w:t xml:space="preserve"> for 3.75kHz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Ruse the implementation margin as 2dB;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Dynamic range 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GEO and LEO, to further study the IoT level to identify whether it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s necessary to define the dynamic range requirements;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FRC and other parameters,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hint="eastAsia" w:cs="Arial"/>
                <w:lang w:eastAsia="ja-JP"/>
              </w:rPr>
              <w:t>FRC A1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hint="eastAsia" w:cs="Arial"/>
                <w:lang w:eastAsia="ja-JP"/>
              </w:rPr>
              <w:t>-1</w:t>
            </w:r>
            <w:r>
              <w:rPr>
                <w:rFonts w:hint="eastAsia" w:eastAsia="宋体" w:cs="Arial"/>
                <w:lang w:val="en-US" w:eastAsia="zh-CN"/>
              </w:rPr>
              <w:t xml:space="preserve"> for 15kHz and </w:t>
            </w:r>
            <w:r>
              <w:rPr>
                <w:rFonts w:hint="eastAsia" w:cs="Arial"/>
                <w:lang w:eastAsia="ja-JP"/>
              </w:rPr>
              <w:t>FRC A1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hint="eastAsia" w:cs="Arial"/>
                <w:lang w:eastAsia="ja-JP"/>
              </w:rPr>
              <w:t>-2</w:t>
            </w:r>
            <w:r>
              <w:rPr>
                <w:rFonts w:hint="eastAsia" w:eastAsia="宋体" w:cs="Arial"/>
                <w:lang w:val="en-US" w:eastAsia="zh-CN"/>
              </w:rPr>
              <w:t xml:space="preserve"> for 3.75kHz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40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Ruse the implementation margin as 2.5dB;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ACS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In-band blocking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requirement defined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 of band blocking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reuse OOBB power level as -44dBm for both GEO and LEO.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Note: the worst coexistence case </w:t>
            </w:r>
            <w:r>
              <w:t>(i.e. SpaceOps TC station at satellite Nadir)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>is applicable for both NR over NTN and IoT over NTN.</w:t>
            </w:r>
          </w:p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wanted signal power level P</w:t>
            </w:r>
            <w:r>
              <w:rPr>
                <w:rFonts w:hint="eastAsia"/>
                <w:vertAlign w:val="subscript"/>
                <w:lang w:val="en-US" w:eastAsia="zh-CN"/>
              </w:rPr>
              <w:t>REFSENS</w:t>
            </w:r>
            <w:r>
              <w:rPr>
                <w:rFonts w:hint="eastAsia"/>
                <w:vertAlign w:val="baseline"/>
                <w:lang w:val="en-US" w:eastAsia="zh-CN"/>
              </w:rPr>
              <w:t>+6dB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Receiver spurious emission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reuse the requirements for NR over NTN in TS38.108 and follow the updates of TS 38.108 if necessary since this is under the discussion.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Receiver intermodulation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requirement defined similar as NR over NTN in TS38.108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40"/>
              <w:bidi w:val="0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In-channel selectivity</w:t>
            </w:r>
          </w:p>
        </w:tc>
        <w:tc>
          <w:tcPr>
            <w:tcW w:w="6194" w:type="dxa"/>
          </w:tcPr>
          <w:p>
            <w:pPr>
              <w:pStyle w:val="40"/>
              <w:bidi w:val="0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 requirement should be defined similar as TN NB-IoT due to its narrow bandwidth.</w:t>
            </w:r>
          </w:p>
        </w:tc>
      </w:tr>
    </w:tbl>
    <w:p>
      <w:pPr>
        <w:pStyle w:val="40"/>
        <w:bidi w:val="0"/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want to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share some initial views on SAN RF requirement</w:t>
      </w:r>
      <w:r>
        <w:rPr>
          <w:rFonts w:hint="eastAsia"/>
          <w:lang w:val="en-US" w:eastAsia="zh-CN"/>
        </w:rPr>
        <w:t xml:space="preserve"> for IoT over NTN and proposals are made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 w:cs="Times New Roman"/>
          <w:sz w:val="22"/>
          <w:szCs w:val="22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1</w:t>
      </w:r>
      <w:r>
        <w:rPr>
          <w:rFonts w:hint="eastAsia" w:cs="Times New Roman"/>
          <w:sz w:val="22"/>
          <w:szCs w:val="22"/>
          <w:lang w:val="en-US" w:eastAsia="zh-CN"/>
        </w:rPr>
        <w:t>: to define SAN type 1-H and type 1-O for IoT over NTN;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2</w:t>
      </w:r>
      <w:r>
        <w:rPr>
          <w:rFonts w:hint="eastAsia" w:cs="Times New Roman"/>
          <w:sz w:val="22"/>
          <w:szCs w:val="22"/>
          <w:lang w:val="en-US" w:eastAsia="zh-CN"/>
        </w:rPr>
        <w:t>: to further discuss the SAN supporting eMTC over NTN as summarized in table 1;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3</w:t>
      </w:r>
      <w:r>
        <w:rPr>
          <w:rFonts w:hint="eastAsia" w:cs="Times New Roman"/>
          <w:sz w:val="22"/>
          <w:szCs w:val="22"/>
          <w:lang w:val="en-US" w:eastAsia="zh-CN"/>
        </w:rPr>
        <w:t>: to further discuss the SAN supporting eMTC over NTN as summarized in table 2.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2"/>
        <w:numPr>
          <w:ilvl w:val="0"/>
          <w:numId w:val="5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RP-221556, WID on NB-IoT/eMTC core &amp; performance requirements for NTN</w:t>
      </w:r>
    </w:p>
    <w:p>
      <w:pPr>
        <w:pStyle w:val="52"/>
        <w:numPr>
          <w:ilvl w:val="0"/>
          <w:numId w:val="5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R1-2200042, LS on DL synchronization enhancements for IoT NTN, RAN1 (Jan-22)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F154DFA"/>
    <w:multiLevelType w:val="multilevel"/>
    <w:tmpl w:val="0F154D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C71FFF"/>
    <w:multiLevelType w:val="multilevel"/>
    <w:tmpl w:val="28C71FFF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504359"/>
    <w:multiLevelType w:val="singleLevel"/>
    <w:tmpl w:val="43504359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8292F"/>
    <w:rsid w:val="023E7088"/>
    <w:rsid w:val="0240545F"/>
    <w:rsid w:val="024C13AB"/>
    <w:rsid w:val="02532AA9"/>
    <w:rsid w:val="025732DD"/>
    <w:rsid w:val="0262197E"/>
    <w:rsid w:val="027035EC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3F7E0C"/>
    <w:rsid w:val="03402EB3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6618A"/>
    <w:rsid w:val="03CD06E1"/>
    <w:rsid w:val="03CD6E1F"/>
    <w:rsid w:val="03D4427A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9B40DC"/>
    <w:rsid w:val="04D66461"/>
    <w:rsid w:val="051034CD"/>
    <w:rsid w:val="051F43BC"/>
    <w:rsid w:val="052432F7"/>
    <w:rsid w:val="05280A89"/>
    <w:rsid w:val="05367F8C"/>
    <w:rsid w:val="053E1AC2"/>
    <w:rsid w:val="0545651B"/>
    <w:rsid w:val="05583DC1"/>
    <w:rsid w:val="055A77BF"/>
    <w:rsid w:val="05687505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06C7"/>
    <w:rsid w:val="06B548E2"/>
    <w:rsid w:val="06BA7F49"/>
    <w:rsid w:val="06BB4F9D"/>
    <w:rsid w:val="06C72EBF"/>
    <w:rsid w:val="06C9247F"/>
    <w:rsid w:val="06CD3A64"/>
    <w:rsid w:val="06F30672"/>
    <w:rsid w:val="06F35A7A"/>
    <w:rsid w:val="06F35AB6"/>
    <w:rsid w:val="06F66B05"/>
    <w:rsid w:val="0702074E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F542D"/>
    <w:rsid w:val="077F5D16"/>
    <w:rsid w:val="07817B19"/>
    <w:rsid w:val="078B062A"/>
    <w:rsid w:val="07916BE4"/>
    <w:rsid w:val="07A2728D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836B6"/>
    <w:rsid w:val="08F5200D"/>
    <w:rsid w:val="08F911CC"/>
    <w:rsid w:val="09016732"/>
    <w:rsid w:val="09127CF4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6BF5"/>
    <w:rsid w:val="0A9E5B2C"/>
    <w:rsid w:val="0AA40CFE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2D66EE"/>
    <w:rsid w:val="0B3F2432"/>
    <w:rsid w:val="0B4D5218"/>
    <w:rsid w:val="0B5C18DB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0D"/>
    <w:rsid w:val="0CA46672"/>
    <w:rsid w:val="0CA92BAC"/>
    <w:rsid w:val="0CB471A1"/>
    <w:rsid w:val="0CB90F2E"/>
    <w:rsid w:val="0CBB5A0F"/>
    <w:rsid w:val="0CCD3B1C"/>
    <w:rsid w:val="0CE245F1"/>
    <w:rsid w:val="0CE4001E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E327E"/>
    <w:rsid w:val="0D432A3E"/>
    <w:rsid w:val="0D480AA9"/>
    <w:rsid w:val="0D5800C7"/>
    <w:rsid w:val="0D5B6E86"/>
    <w:rsid w:val="0D604B9B"/>
    <w:rsid w:val="0D6A353C"/>
    <w:rsid w:val="0D826C81"/>
    <w:rsid w:val="0D904522"/>
    <w:rsid w:val="0D976014"/>
    <w:rsid w:val="0DA060E8"/>
    <w:rsid w:val="0DA57AAE"/>
    <w:rsid w:val="0DB76EF8"/>
    <w:rsid w:val="0DCE36F3"/>
    <w:rsid w:val="0DD621E4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F0E9A"/>
    <w:rsid w:val="0E400D03"/>
    <w:rsid w:val="0E485C9B"/>
    <w:rsid w:val="0E5E2B07"/>
    <w:rsid w:val="0E771E51"/>
    <w:rsid w:val="0E796EA0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12247A"/>
    <w:rsid w:val="0F1D0ECD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5D0C8F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9A3D44"/>
    <w:rsid w:val="0FA26E81"/>
    <w:rsid w:val="0FA615E1"/>
    <w:rsid w:val="0FAD0019"/>
    <w:rsid w:val="0FAD3299"/>
    <w:rsid w:val="0FB261C9"/>
    <w:rsid w:val="0FB31343"/>
    <w:rsid w:val="0FC12836"/>
    <w:rsid w:val="0FD95333"/>
    <w:rsid w:val="0FEC322B"/>
    <w:rsid w:val="0FEC6EF6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616D6"/>
    <w:rsid w:val="12396B0A"/>
    <w:rsid w:val="123A52C3"/>
    <w:rsid w:val="123E0CDC"/>
    <w:rsid w:val="125A02CC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61DCD"/>
    <w:rsid w:val="15D4474D"/>
    <w:rsid w:val="15D7597F"/>
    <w:rsid w:val="160C437B"/>
    <w:rsid w:val="161033BE"/>
    <w:rsid w:val="16160429"/>
    <w:rsid w:val="161C3234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533B98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A7296F"/>
    <w:rsid w:val="19B94DE5"/>
    <w:rsid w:val="19BB7983"/>
    <w:rsid w:val="19CA4702"/>
    <w:rsid w:val="19D76F77"/>
    <w:rsid w:val="19DE7440"/>
    <w:rsid w:val="19ED386F"/>
    <w:rsid w:val="19FF1298"/>
    <w:rsid w:val="1A045B87"/>
    <w:rsid w:val="1A210157"/>
    <w:rsid w:val="1A484A02"/>
    <w:rsid w:val="1A4D1CE1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D6D74"/>
    <w:rsid w:val="1CD97139"/>
    <w:rsid w:val="1CE13063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E093D7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F4E87"/>
    <w:rsid w:val="1EB50D64"/>
    <w:rsid w:val="1EC11B39"/>
    <w:rsid w:val="1EC80437"/>
    <w:rsid w:val="1ED15DFD"/>
    <w:rsid w:val="1ED874EC"/>
    <w:rsid w:val="1ED94E25"/>
    <w:rsid w:val="1EDB6C5F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1065641"/>
    <w:rsid w:val="210D2CDA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4E39DE"/>
    <w:rsid w:val="224E74D0"/>
    <w:rsid w:val="225C1E49"/>
    <w:rsid w:val="22713317"/>
    <w:rsid w:val="227F5037"/>
    <w:rsid w:val="228041D7"/>
    <w:rsid w:val="228A008B"/>
    <w:rsid w:val="228D63FC"/>
    <w:rsid w:val="229A7E25"/>
    <w:rsid w:val="22AA0362"/>
    <w:rsid w:val="22AA773F"/>
    <w:rsid w:val="22B059F5"/>
    <w:rsid w:val="22B06BDB"/>
    <w:rsid w:val="22B63FB8"/>
    <w:rsid w:val="22BA2D5C"/>
    <w:rsid w:val="22BC7DF2"/>
    <w:rsid w:val="22BD19A6"/>
    <w:rsid w:val="22BD504B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A3283"/>
    <w:rsid w:val="258E66DC"/>
    <w:rsid w:val="258F15BB"/>
    <w:rsid w:val="259231BD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3E0775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D53A8"/>
    <w:rsid w:val="26D323BB"/>
    <w:rsid w:val="26D45590"/>
    <w:rsid w:val="26F40E3F"/>
    <w:rsid w:val="26F40EBD"/>
    <w:rsid w:val="26F85687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FE4240"/>
    <w:rsid w:val="280008FF"/>
    <w:rsid w:val="28050D91"/>
    <w:rsid w:val="281035C6"/>
    <w:rsid w:val="28140E2A"/>
    <w:rsid w:val="28255041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D2029"/>
    <w:rsid w:val="28AE4FA7"/>
    <w:rsid w:val="28B220F4"/>
    <w:rsid w:val="28C075A4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4201A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B1852"/>
    <w:rsid w:val="2DBF0C3E"/>
    <w:rsid w:val="2DBF1601"/>
    <w:rsid w:val="2DBF4C3A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5608F9"/>
    <w:rsid w:val="2E59206F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93370"/>
    <w:rsid w:val="2E9A086A"/>
    <w:rsid w:val="2EA049A8"/>
    <w:rsid w:val="2EA26ABE"/>
    <w:rsid w:val="2EA72F10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F1DD8"/>
    <w:rsid w:val="32544043"/>
    <w:rsid w:val="3259293C"/>
    <w:rsid w:val="325E5514"/>
    <w:rsid w:val="32666821"/>
    <w:rsid w:val="326718A4"/>
    <w:rsid w:val="32694229"/>
    <w:rsid w:val="326A18B1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747E7"/>
    <w:rsid w:val="331B37C6"/>
    <w:rsid w:val="331C390F"/>
    <w:rsid w:val="333A0536"/>
    <w:rsid w:val="333E0FE1"/>
    <w:rsid w:val="334D7767"/>
    <w:rsid w:val="33610DDA"/>
    <w:rsid w:val="3362171F"/>
    <w:rsid w:val="3366319E"/>
    <w:rsid w:val="336C2B69"/>
    <w:rsid w:val="33767D1F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E20DF0"/>
    <w:rsid w:val="33E570DD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3748E"/>
    <w:rsid w:val="347F540F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F44E5C"/>
    <w:rsid w:val="35F45994"/>
    <w:rsid w:val="3602050E"/>
    <w:rsid w:val="36101A49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F414F3"/>
    <w:rsid w:val="37002C93"/>
    <w:rsid w:val="370974B4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544DD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443D4B"/>
    <w:rsid w:val="3A616CAD"/>
    <w:rsid w:val="3A711C68"/>
    <w:rsid w:val="3A7927E8"/>
    <w:rsid w:val="3A796E46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73D23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37821"/>
    <w:rsid w:val="3C294498"/>
    <w:rsid w:val="3C2D5003"/>
    <w:rsid w:val="3C333216"/>
    <w:rsid w:val="3C36018F"/>
    <w:rsid w:val="3C3B0B4B"/>
    <w:rsid w:val="3C3D016E"/>
    <w:rsid w:val="3C4864AA"/>
    <w:rsid w:val="3C49796D"/>
    <w:rsid w:val="3C4F7D80"/>
    <w:rsid w:val="3C64689F"/>
    <w:rsid w:val="3C6E7D4D"/>
    <w:rsid w:val="3C740DAA"/>
    <w:rsid w:val="3C750E34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36AD8"/>
    <w:rsid w:val="3EF535E4"/>
    <w:rsid w:val="3EF62480"/>
    <w:rsid w:val="3EFB57DC"/>
    <w:rsid w:val="3F0572F1"/>
    <w:rsid w:val="3F144192"/>
    <w:rsid w:val="3F1871AF"/>
    <w:rsid w:val="3F217DDA"/>
    <w:rsid w:val="3F2B184D"/>
    <w:rsid w:val="3F2C7646"/>
    <w:rsid w:val="3F421D47"/>
    <w:rsid w:val="3F441B08"/>
    <w:rsid w:val="3F4A4087"/>
    <w:rsid w:val="3F5361F5"/>
    <w:rsid w:val="3F6B3632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D6DEE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A63744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701C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C5796D"/>
    <w:rsid w:val="42D67001"/>
    <w:rsid w:val="42E06A10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510AA"/>
    <w:rsid w:val="449D7968"/>
    <w:rsid w:val="44AA6690"/>
    <w:rsid w:val="44B4690B"/>
    <w:rsid w:val="44B53006"/>
    <w:rsid w:val="44BA1648"/>
    <w:rsid w:val="44BB150F"/>
    <w:rsid w:val="44BE4FA9"/>
    <w:rsid w:val="44C43057"/>
    <w:rsid w:val="44C87C0F"/>
    <w:rsid w:val="44D31B1E"/>
    <w:rsid w:val="44DF6F1B"/>
    <w:rsid w:val="44E54BDC"/>
    <w:rsid w:val="44E92DF3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F2381"/>
    <w:rsid w:val="45A74FA6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365246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644CFB"/>
    <w:rsid w:val="47666951"/>
    <w:rsid w:val="47683159"/>
    <w:rsid w:val="476A7D07"/>
    <w:rsid w:val="479766B4"/>
    <w:rsid w:val="479A472B"/>
    <w:rsid w:val="479D7800"/>
    <w:rsid w:val="47A240A4"/>
    <w:rsid w:val="47AA1593"/>
    <w:rsid w:val="47B44BED"/>
    <w:rsid w:val="47BC3466"/>
    <w:rsid w:val="47D730B6"/>
    <w:rsid w:val="47DD6A91"/>
    <w:rsid w:val="47E62C82"/>
    <w:rsid w:val="47EB0853"/>
    <w:rsid w:val="47EB5BFA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4C459F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CB1BAE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3448A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705706"/>
    <w:rsid w:val="4D7220A0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904370"/>
    <w:rsid w:val="4E937763"/>
    <w:rsid w:val="4E991182"/>
    <w:rsid w:val="4E9E5BA9"/>
    <w:rsid w:val="4E9F5613"/>
    <w:rsid w:val="4EA9172F"/>
    <w:rsid w:val="4EAC241A"/>
    <w:rsid w:val="4EB67945"/>
    <w:rsid w:val="4ECA2CB3"/>
    <w:rsid w:val="4ED32EBD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535DE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D4A1E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8076F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1942B6"/>
    <w:rsid w:val="541A5BBF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9174E"/>
    <w:rsid w:val="56214A7B"/>
    <w:rsid w:val="562E1F90"/>
    <w:rsid w:val="56373380"/>
    <w:rsid w:val="563B616D"/>
    <w:rsid w:val="56436207"/>
    <w:rsid w:val="56456373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33383"/>
    <w:rsid w:val="56E81DBE"/>
    <w:rsid w:val="56ED5E03"/>
    <w:rsid w:val="56FB0134"/>
    <w:rsid w:val="57012351"/>
    <w:rsid w:val="57095761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E0A52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094784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B7C88"/>
    <w:rsid w:val="5A73612A"/>
    <w:rsid w:val="5A8F76C1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17866"/>
    <w:rsid w:val="5C523483"/>
    <w:rsid w:val="5C5348B4"/>
    <w:rsid w:val="5C5E033F"/>
    <w:rsid w:val="5C6875EE"/>
    <w:rsid w:val="5C6F12DC"/>
    <w:rsid w:val="5C7A2919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803D55"/>
    <w:rsid w:val="5E854DAE"/>
    <w:rsid w:val="5EA36A9B"/>
    <w:rsid w:val="5EA648E2"/>
    <w:rsid w:val="5EB32415"/>
    <w:rsid w:val="5EB52E6F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67D61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C2BB6"/>
    <w:rsid w:val="6411454E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A65E7D"/>
    <w:rsid w:val="65BC6E17"/>
    <w:rsid w:val="65BD3777"/>
    <w:rsid w:val="65BE5ECC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60692"/>
    <w:rsid w:val="6658158E"/>
    <w:rsid w:val="66631FDD"/>
    <w:rsid w:val="66727620"/>
    <w:rsid w:val="66763EED"/>
    <w:rsid w:val="667930F9"/>
    <w:rsid w:val="6679372B"/>
    <w:rsid w:val="667B3C56"/>
    <w:rsid w:val="66953491"/>
    <w:rsid w:val="66980BF6"/>
    <w:rsid w:val="66A56CDB"/>
    <w:rsid w:val="66AD65FC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9B3E14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C448A"/>
    <w:rsid w:val="6CED284E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25993"/>
    <w:rsid w:val="6E2A0DD8"/>
    <w:rsid w:val="6E35742E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94AF1"/>
    <w:rsid w:val="704A6916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91094"/>
    <w:rsid w:val="70DB76EF"/>
    <w:rsid w:val="70E47264"/>
    <w:rsid w:val="70F04773"/>
    <w:rsid w:val="710524E2"/>
    <w:rsid w:val="710B03C6"/>
    <w:rsid w:val="711604AB"/>
    <w:rsid w:val="712762EB"/>
    <w:rsid w:val="712D2ADB"/>
    <w:rsid w:val="712D4159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C688B"/>
    <w:rsid w:val="72200AF0"/>
    <w:rsid w:val="722E7DFE"/>
    <w:rsid w:val="723749D7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AB3452"/>
    <w:rsid w:val="78B0117B"/>
    <w:rsid w:val="78B91C9F"/>
    <w:rsid w:val="78BC539D"/>
    <w:rsid w:val="78C134B0"/>
    <w:rsid w:val="78C64CC0"/>
    <w:rsid w:val="78C67D14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350D11"/>
    <w:rsid w:val="79351894"/>
    <w:rsid w:val="7940572D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90174F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9044A6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6339F7"/>
    <w:rsid w:val="7F8660CD"/>
    <w:rsid w:val="7F8A2E2C"/>
    <w:rsid w:val="7F963419"/>
    <w:rsid w:val="7FA069EC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5"/>
    <w:qFormat/>
    <w:uiPriority w:val="0"/>
  </w:style>
  <w:style w:type="character" w:customStyle="1" w:styleId="62">
    <w:name w:val="c-icon"/>
    <w:basedOn w:val="25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5"/>
    <w:qFormat/>
    <w:uiPriority w:val="0"/>
  </w:style>
  <w:style w:type="character" w:customStyle="1" w:styleId="66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5"/>
    <w:qFormat/>
    <w:uiPriority w:val="0"/>
  </w:style>
  <w:style w:type="character" w:customStyle="1" w:styleId="68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Caption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5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er Char"/>
    <w:link w:val="17"/>
    <w:qFormat/>
    <w:uiPriority w:val="99"/>
    <w:rPr>
      <w:sz w:val="18"/>
      <w:szCs w:val="18"/>
    </w:rPr>
  </w:style>
  <w:style w:type="character" w:customStyle="1" w:styleId="79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Footer Char"/>
    <w:link w:val="16"/>
    <w:qFormat/>
    <w:uiPriority w:val="99"/>
    <w:rPr>
      <w:sz w:val="18"/>
      <w:szCs w:val="18"/>
    </w:rPr>
  </w:style>
  <w:style w:type="character" w:customStyle="1" w:styleId="83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5"/>
    <w:qFormat/>
    <w:uiPriority w:val="0"/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5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eop"/>
    <w:basedOn w:val="2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2022-08-10T15:51:42Z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